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D6" w:rsidRPr="00A70590" w:rsidRDefault="00510ED6" w:rsidP="00673E1A">
      <w:pPr>
        <w:tabs>
          <w:tab w:val="left" w:pos="5400"/>
          <w:tab w:val="left" w:pos="6000"/>
        </w:tabs>
        <w:suppressAutoHyphens/>
        <w:spacing w:line="360" w:lineRule="auto"/>
        <w:jc w:val="center"/>
        <w:rPr>
          <w:rFonts w:asciiTheme="minorHAnsi" w:hAnsiTheme="minorHAnsi" w:cs="Arial"/>
          <w:b/>
          <w:spacing w:val="-2"/>
          <w:sz w:val="22"/>
          <w:szCs w:val="22"/>
        </w:rPr>
      </w:pPr>
      <w:r w:rsidRPr="00A70590">
        <w:rPr>
          <w:rFonts w:asciiTheme="minorHAnsi" w:hAnsiTheme="minorHAnsi" w:cs="Arial"/>
          <w:b/>
          <w:spacing w:val="-2"/>
          <w:sz w:val="22"/>
          <w:szCs w:val="22"/>
        </w:rPr>
        <w:t>SCHEDULE “A”</w:t>
      </w:r>
    </w:p>
    <w:p w:rsidR="00510ED6" w:rsidRPr="00A70590" w:rsidRDefault="00510ED6" w:rsidP="00673E1A">
      <w:pPr>
        <w:tabs>
          <w:tab w:val="left" w:pos="5400"/>
          <w:tab w:val="left" w:pos="6000"/>
        </w:tabs>
        <w:suppressAutoHyphens/>
        <w:spacing w:line="360" w:lineRule="auto"/>
        <w:jc w:val="center"/>
        <w:rPr>
          <w:rFonts w:asciiTheme="minorHAnsi" w:hAnsiTheme="minorHAnsi" w:cs="Arial"/>
          <w:b/>
          <w:spacing w:val="-2"/>
          <w:sz w:val="22"/>
          <w:szCs w:val="22"/>
        </w:rPr>
      </w:pPr>
      <w:r w:rsidRPr="00A70590">
        <w:rPr>
          <w:rFonts w:asciiTheme="minorHAnsi" w:hAnsiTheme="minorHAnsi" w:cs="Arial"/>
          <w:b/>
          <w:spacing w:val="-2"/>
          <w:sz w:val="22"/>
          <w:szCs w:val="22"/>
          <w:u w:val="single"/>
        </w:rPr>
        <w:t>COMMISSION RATE SCHEDULE</w:t>
      </w:r>
    </w:p>
    <w:p w:rsidR="00510ED6" w:rsidRPr="00A70590" w:rsidRDefault="00510ED6" w:rsidP="00673E1A">
      <w:pPr>
        <w:tabs>
          <w:tab w:val="left" w:pos="5400"/>
          <w:tab w:val="left" w:pos="6000"/>
        </w:tabs>
        <w:suppressAutoHyphens/>
        <w:spacing w:line="360" w:lineRule="auto"/>
        <w:ind w:left="1080" w:right="1080"/>
        <w:jc w:val="both"/>
        <w:rPr>
          <w:rFonts w:asciiTheme="minorHAnsi" w:hAnsiTheme="minorHAnsi" w:cs="Arial"/>
          <w:b/>
          <w:spacing w:val="-2"/>
          <w:sz w:val="22"/>
          <w:szCs w:val="22"/>
        </w:rPr>
      </w:pPr>
    </w:p>
    <w:p w:rsidR="00510ED6" w:rsidRPr="00A70590" w:rsidRDefault="00510ED6" w:rsidP="00673E1A">
      <w:pPr>
        <w:tabs>
          <w:tab w:val="left" w:pos="1800"/>
          <w:tab w:val="right" w:pos="7560"/>
        </w:tabs>
        <w:suppressAutoHyphens/>
        <w:spacing w:line="360" w:lineRule="auto"/>
        <w:ind w:left="702" w:right="1080" w:hanging="342"/>
        <w:jc w:val="both"/>
        <w:rPr>
          <w:rFonts w:asciiTheme="minorHAnsi" w:hAnsiTheme="minorHAnsi" w:cs="Arial"/>
          <w:spacing w:val="-2"/>
          <w:sz w:val="22"/>
          <w:szCs w:val="22"/>
        </w:rPr>
      </w:pPr>
      <w:r w:rsidRPr="00A70590">
        <w:rPr>
          <w:rFonts w:asciiTheme="minorHAnsi" w:hAnsiTheme="minorHAnsi" w:cs="Arial"/>
          <w:spacing w:val="-2"/>
          <w:sz w:val="22"/>
          <w:szCs w:val="22"/>
        </w:rPr>
        <w:t xml:space="preserve">1.  </w:t>
      </w:r>
      <w:r w:rsidRPr="00A70590">
        <w:rPr>
          <w:rFonts w:asciiTheme="minorHAnsi" w:hAnsiTheme="minorHAnsi" w:cs="Arial"/>
          <w:b/>
          <w:spacing w:val="-2"/>
          <w:sz w:val="22"/>
          <w:szCs w:val="22"/>
        </w:rPr>
        <w:t xml:space="preserve">COMMISSION RATES: </w:t>
      </w:r>
      <w:r w:rsidRPr="00A70590">
        <w:rPr>
          <w:rFonts w:asciiTheme="minorHAnsi" w:hAnsiTheme="minorHAnsi" w:cs="Arial"/>
          <w:spacing w:val="-2"/>
          <w:sz w:val="22"/>
          <w:szCs w:val="22"/>
        </w:rPr>
        <w:t>Commissions on Leases shall be paid based upon the</w:t>
      </w:r>
      <w:r w:rsidR="00971677">
        <w:rPr>
          <w:rFonts w:asciiTheme="minorHAnsi" w:hAnsiTheme="minorHAnsi" w:cs="Arial"/>
          <w:spacing w:val="-2"/>
          <w:sz w:val="22"/>
          <w:szCs w:val="22"/>
        </w:rPr>
        <w:t xml:space="preserve"> </w:t>
      </w:r>
      <w:r w:rsidRPr="00A70590">
        <w:rPr>
          <w:rFonts w:asciiTheme="minorHAnsi" w:hAnsiTheme="minorHAnsi" w:cs="Arial"/>
          <w:spacing w:val="-2"/>
          <w:sz w:val="22"/>
          <w:szCs w:val="22"/>
        </w:rPr>
        <w:t>following rates for each Lease Year as defined herein:</w:t>
      </w:r>
    </w:p>
    <w:p w:rsidR="00510ED6" w:rsidRPr="00A70590" w:rsidRDefault="00510ED6" w:rsidP="00673E1A">
      <w:pPr>
        <w:tabs>
          <w:tab w:val="left" w:pos="-216"/>
          <w:tab w:val="left" w:pos="504"/>
          <w:tab w:val="left" w:pos="1224"/>
          <w:tab w:val="left" w:pos="1872"/>
          <w:tab w:val="left" w:pos="2664"/>
          <w:tab w:val="left" w:pos="4104"/>
          <w:tab w:val="left" w:pos="5544"/>
        </w:tabs>
        <w:suppressAutoHyphens/>
        <w:spacing w:line="360" w:lineRule="auto"/>
        <w:ind w:left="720"/>
        <w:jc w:val="both"/>
        <w:rPr>
          <w:rFonts w:asciiTheme="minorHAnsi" w:hAnsiTheme="minorHAnsi" w:cs="Arial"/>
          <w:spacing w:val="-2"/>
          <w:sz w:val="22"/>
          <w:szCs w:val="22"/>
        </w:rPr>
      </w:pPr>
    </w:p>
    <w:p w:rsidR="008247F4" w:rsidRPr="00A70590" w:rsidRDefault="00510ED6" w:rsidP="00610FB7">
      <w:pPr>
        <w:tabs>
          <w:tab w:val="left" w:pos="-216"/>
          <w:tab w:val="left" w:pos="504"/>
          <w:tab w:val="left" w:pos="1224"/>
          <w:tab w:val="left" w:pos="1872"/>
          <w:tab w:val="left" w:pos="2664"/>
          <w:tab w:val="left" w:pos="4104"/>
          <w:tab w:val="left" w:pos="5544"/>
        </w:tabs>
        <w:suppressAutoHyphens/>
        <w:spacing w:line="360" w:lineRule="auto"/>
        <w:ind w:left="720"/>
        <w:jc w:val="both"/>
        <w:rPr>
          <w:rFonts w:asciiTheme="minorHAnsi" w:hAnsiTheme="minorHAnsi" w:cs="Arial"/>
          <w:spacing w:val="-2"/>
          <w:sz w:val="22"/>
          <w:szCs w:val="22"/>
        </w:rPr>
      </w:pPr>
      <w:r w:rsidRPr="00A70590">
        <w:rPr>
          <w:rFonts w:asciiTheme="minorHAnsi" w:hAnsiTheme="minorHAnsi" w:cs="Arial"/>
          <w:spacing w:val="-2"/>
          <w:sz w:val="22"/>
          <w:szCs w:val="22"/>
        </w:rPr>
        <w:t>On the rental for all or any fraction of:</w:t>
      </w:r>
    </w:p>
    <w:p w:rsidR="008247F4" w:rsidRPr="00A70590" w:rsidRDefault="008247F4" w:rsidP="00673E1A">
      <w:pPr>
        <w:tabs>
          <w:tab w:val="left" w:pos="-216"/>
          <w:tab w:val="left" w:pos="504"/>
          <w:tab w:val="left" w:pos="1224"/>
          <w:tab w:val="left" w:pos="1872"/>
          <w:tab w:val="left" w:pos="2664"/>
          <w:tab w:val="left" w:pos="4104"/>
          <w:tab w:val="left" w:pos="5544"/>
        </w:tabs>
        <w:suppressAutoHyphens/>
        <w:spacing w:line="360" w:lineRule="auto"/>
        <w:ind w:left="720"/>
        <w:jc w:val="both"/>
        <w:rPr>
          <w:rFonts w:asciiTheme="minorHAnsi" w:hAnsiTheme="minorHAnsi" w:cs="Arial"/>
          <w:spacing w:val="-2"/>
          <w:sz w:val="22"/>
          <w:szCs w:val="22"/>
          <w:u w:val="single"/>
        </w:rPr>
      </w:pPr>
      <w:r w:rsidRPr="00A70590">
        <w:rPr>
          <w:rFonts w:asciiTheme="minorHAnsi" w:hAnsiTheme="minorHAnsi" w:cs="Arial"/>
          <w:spacing w:val="-2"/>
          <w:sz w:val="22"/>
          <w:szCs w:val="22"/>
          <w:u w:val="single"/>
        </w:rPr>
        <w:t xml:space="preserve">The first </w:t>
      </w:r>
      <w:r w:rsidR="00971677">
        <w:rPr>
          <w:rFonts w:asciiTheme="minorHAnsi" w:hAnsiTheme="minorHAnsi" w:cs="Arial"/>
          <w:spacing w:val="-2"/>
          <w:sz w:val="22"/>
          <w:szCs w:val="22"/>
          <w:u w:val="single"/>
        </w:rPr>
        <w:t xml:space="preserve">to </w:t>
      </w:r>
      <w:r w:rsidR="0038527E">
        <w:rPr>
          <w:rFonts w:asciiTheme="minorHAnsi" w:hAnsiTheme="minorHAnsi" w:cs="Arial"/>
          <w:spacing w:val="-2"/>
          <w:sz w:val="22"/>
          <w:szCs w:val="22"/>
          <w:u w:val="single"/>
        </w:rPr>
        <w:t>third</w:t>
      </w:r>
      <w:r w:rsidR="00C46A30">
        <w:rPr>
          <w:rFonts w:asciiTheme="minorHAnsi" w:hAnsiTheme="minorHAnsi" w:cs="Arial"/>
          <w:spacing w:val="-2"/>
          <w:sz w:val="22"/>
          <w:szCs w:val="22"/>
          <w:u w:val="single"/>
        </w:rPr>
        <w:t xml:space="preserve"> year</w:t>
      </w:r>
      <w:r w:rsidR="00971677">
        <w:rPr>
          <w:rFonts w:asciiTheme="minorHAnsi" w:hAnsiTheme="minorHAnsi" w:cs="Arial"/>
          <w:spacing w:val="-2"/>
          <w:sz w:val="22"/>
          <w:szCs w:val="22"/>
          <w:u w:val="single"/>
        </w:rPr>
        <w:t>_______________</w:t>
      </w:r>
      <w:r w:rsidRPr="00A70590">
        <w:rPr>
          <w:rFonts w:asciiTheme="minorHAnsi" w:hAnsiTheme="minorHAnsi" w:cs="Arial"/>
          <w:spacing w:val="-2"/>
          <w:sz w:val="22"/>
          <w:szCs w:val="22"/>
          <w:u w:val="single"/>
        </w:rPr>
        <w:tab/>
      </w:r>
      <w:r w:rsidRPr="00A70590">
        <w:rPr>
          <w:rFonts w:asciiTheme="minorHAnsi" w:hAnsiTheme="minorHAnsi" w:cs="Arial"/>
          <w:spacing w:val="-2"/>
          <w:sz w:val="22"/>
          <w:szCs w:val="22"/>
          <w:u w:val="single"/>
        </w:rPr>
        <w:tab/>
      </w:r>
      <w:r w:rsidRPr="00A70590">
        <w:rPr>
          <w:rFonts w:asciiTheme="minorHAnsi" w:hAnsiTheme="minorHAnsi" w:cs="Arial"/>
          <w:spacing w:val="-2"/>
          <w:sz w:val="22"/>
          <w:szCs w:val="22"/>
          <w:u w:val="single"/>
        </w:rPr>
        <w:tab/>
      </w:r>
      <w:r w:rsidRPr="00A70590">
        <w:rPr>
          <w:rFonts w:asciiTheme="minorHAnsi" w:hAnsiTheme="minorHAnsi" w:cs="Arial"/>
          <w:spacing w:val="-2"/>
          <w:sz w:val="22"/>
          <w:szCs w:val="22"/>
          <w:u w:val="single"/>
        </w:rPr>
        <w:tab/>
      </w:r>
      <w:r w:rsidRPr="00A70590">
        <w:rPr>
          <w:rFonts w:asciiTheme="minorHAnsi" w:hAnsiTheme="minorHAnsi" w:cs="Arial"/>
          <w:spacing w:val="-2"/>
          <w:sz w:val="22"/>
          <w:szCs w:val="22"/>
          <w:u w:val="single"/>
        </w:rPr>
        <w:tab/>
        <w:t>5%</w:t>
      </w:r>
    </w:p>
    <w:p w:rsidR="00971677" w:rsidRDefault="008247F4" w:rsidP="00610FB7">
      <w:pPr>
        <w:tabs>
          <w:tab w:val="left" w:pos="-216"/>
          <w:tab w:val="left" w:pos="504"/>
          <w:tab w:val="left" w:pos="1224"/>
          <w:tab w:val="left" w:pos="1872"/>
          <w:tab w:val="left" w:pos="2664"/>
          <w:tab w:val="left" w:pos="4104"/>
          <w:tab w:val="left" w:pos="5544"/>
        </w:tabs>
        <w:suppressAutoHyphens/>
        <w:spacing w:line="360" w:lineRule="auto"/>
        <w:ind w:left="720"/>
        <w:jc w:val="both"/>
        <w:rPr>
          <w:rFonts w:asciiTheme="minorHAnsi" w:hAnsiTheme="minorHAnsi" w:cs="Arial"/>
          <w:spacing w:val="-2"/>
          <w:sz w:val="22"/>
          <w:szCs w:val="22"/>
          <w:u w:val="single"/>
        </w:rPr>
      </w:pPr>
      <w:r w:rsidRPr="00A70590">
        <w:rPr>
          <w:rFonts w:asciiTheme="minorHAnsi" w:hAnsiTheme="minorHAnsi" w:cs="Arial"/>
          <w:spacing w:val="-2"/>
          <w:sz w:val="22"/>
          <w:szCs w:val="22"/>
          <w:u w:val="single"/>
        </w:rPr>
        <w:t xml:space="preserve">The </w:t>
      </w:r>
      <w:r w:rsidR="0038527E">
        <w:rPr>
          <w:rFonts w:asciiTheme="minorHAnsi" w:hAnsiTheme="minorHAnsi" w:cs="Arial"/>
          <w:spacing w:val="-2"/>
          <w:sz w:val="22"/>
          <w:szCs w:val="22"/>
          <w:u w:val="single"/>
        </w:rPr>
        <w:t>fourth</w:t>
      </w:r>
      <w:r w:rsidRPr="00A70590">
        <w:rPr>
          <w:rFonts w:asciiTheme="minorHAnsi" w:hAnsiTheme="minorHAnsi" w:cs="Arial"/>
          <w:spacing w:val="-2"/>
          <w:sz w:val="22"/>
          <w:szCs w:val="22"/>
          <w:u w:val="single"/>
        </w:rPr>
        <w:t xml:space="preserve"> </w:t>
      </w:r>
      <w:r w:rsidR="00364883" w:rsidRPr="00A70590">
        <w:rPr>
          <w:rFonts w:asciiTheme="minorHAnsi" w:hAnsiTheme="minorHAnsi" w:cs="Arial"/>
          <w:spacing w:val="-2"/>
          <w:sz w:val="22"/>
          <w:szCs w:val="22"/>
          <w:u w:val="single"/>
        </w:rPr>
        <w:t>year and beyond</w:t>
      </w:r>
      <w:r w:rsidRPr="00A70590">
        <w:rPr>
          <w:rFonts w:asciiTheme="minorHAnsi" w:hAnsiTheme="minorHAnsi" w:cs="Arial"/>
          <w:spacing w:val="-2"/>
          <w:sz w:val="22"/>
          <w:szCs w:val="22"/>
          <w:u w:val="single"/>
        </w:rPr>
        <w:tab/>
      </w:r>
      <w:r w:rsidRPr="00A70590">
        <w:rPr>
          <w:rFonts w:asciiTheme="minorHAnsi" w:hAnsiTheme="minorHAnsi" w:cs="Arial"/>
          <w:spacing w:val="-2"/>
          <w:sz w:val="22"/>
          <w:szCs w:val="22"/>
          <w:u w:val="single"/>
        </w:rPr>
        <w:tab/>
      </w:r>
      <w:r w:rsidRPr="00A70590">
        <w:rPr>
          <w:rFonts w:asciiTheme="minorHAnsi" w:hAnsiTheme="minorHAnsi" w:cs="Arial"/>
          <w:spacing w:val="-2"/>
          <w:sz w:val="22"/>
          <w:szCs w:val="22"/>
          <w:u w:val="single"/>
        </w:rPr>
        <w:tab/>
      </w:r>
      <w:r w:rsidRPr="00A70590">
        <w:rPr>
          <w:rFonts w:asciiTheme="minorHAnsi" w:hAnsiTheme="minorHAnsi" w:cs="Arial"/>
          <w:spacing w:val="-2"/>
          <w:sz w:val="22"/>
          <w:szCs w:val="22"/>
          <w:u w:val="single"/>
        </w:rPr>
        <w:tab/>
      </w:r>
      <w:r w:rsidRPr="00A70590">
        <w:rPr>
          <w:rFonts w:asciiTheme="minorHAnsi" w:hAnsiTheme="minorHAnsi" w:cs="Arial"/>
          <w:spacing w:val="-2"/>
          <w:sz w:val="22"/>
          <w:szCs w:val="22"/>
          <w:u w:val="single"/>
        </w:rPr>
        <w:tab/>
      </w:r>
      <w:r w:rsidRPr="00A70590">
        <w:rPr>
          <w:rFonts w:asciiTheme="minorHAnsi" w:hAnsiTheme="minorHAnsi" w:cs="Arial"/>
          <w:spacing w:val="-2"/>
          <w:sz w:val="22"/>
          <w:szCs w:val="22"/>
          <w:u w:val="single"/>
        </w:rPr>
        <w:tab/>
      </w:r>
      <w:r w:rsidR="00C46A30">
        <w:rPr>
          <w:rFonts w:asciiTheme="minorHAnsi" w:hAnsiTheme="minorHAnsi" w:cs="Arial"/>
          <w:spacing w:val="-2"/>
          <w:sz w:val="22"/>
          <w:szCs w:val="22"/>
          <w:u w:val="single"/>
        </w:rPr>
        <w:t>2</w:t>
      </w:r>
      <w:r w:rsidRPr="00A70590">
        <w:rPr>
          <w:rFonts w:asciiTheme="minorHAnsi" w:hAnsiTheme="minorHAnsi" w:cs="Arial"/>
          <w:spacing w:val="-2"/>
          <w:sz w:val="22"/>
          <w:szCs w:val="22"/>
          <w:u w:val="single"/>
        </w:rPr>
        <w:t>%</w:t>
      </w:r>
    </w:p>
    <w:p w:rsidR="00610FB7" w:rsidRPr="00610FB7" w:rsidRDefault="00610FB7" w:rsidP="00610FB7">
      <w:pPr>
        <w:tabs>
          <w:tab w:val="left" w:pos="-216"/>
          <w:tab w:val="left" w:pos="504"/>
          <w:tab w:val="left" w:pos="1224"/>
          <w:tab w:val="left" w:pos="1872"/>
          <w:tab w:val="left" w:pos="2664"/>
          <w:tab w:val="left" w:pos="4104"/>
          <w:tab w:val="left" w:pos="5544"/>
        </w:tabs>
        <w:suppressAutoHyphens/>
        <w:spacing w:line="360" w:lineRule="auto"/>
        <w:ind w:left="720"/>
        <w:jc w:val="both"/>
        <w:rPr>
          <w:rFonts w:asciiTheme="minorHAnsi" w:hAnsiTheme="minorHAnsi" w:cs="Arial"/>
          <w:spacing w:val="-2"/>
          <w:sz w:val="22"/>
          <w:szCs w:val="22"/>
          <w:u w:val="single"/>
        </w:rPr>
      </w:pPr>
    </w:p>
    <w:p w:rsidR="00510ED6" w:rsidRPr="00A70590" w:rsidRDefault="00510ED6" w:rsidP="00673E1A">
      <w:pPr>
        <w:numPr>
          <w:ilvl w:val="0"/>
          <w:numId w:val="1"/>
        </w:numPr>
        <w:spacing w:after="240" w:line="360" w:lineRule="auto"/>
        <w:jc w:val="both"/>
        <w:rPr>
          <w:rFonts w:asciiTheme="minorHAnsi" w:hAnsiTheme="minorHAnsi" w:cs="Arial"/>
          <w:sz w:val="22"/>
          <w:szCs w:val="22"/>
        </w:rPr>
      </w:pPr>
      <w:r w:rsidRPr="00A70590">
        <w:rPr>
          <w:rFonts w:asciiTheme="minorHAnsi" w:hAnsiTheme="minorHAnsi" w:cs="Arial"/>
          <w:b/>
          <w:sz w:val="22"/>
          <w:szCs w:val="22"/>
        </w:rPr>
        <w:t xml:space="preserve">LEASE WITH OPTION(S) TO RENEW, EXTEND, OR EXPAND:  </w:t>
      </w:r>
      <w:r w:rsidRPr="00A70590">
        <w:rPr>
          <w:rFonts w:asciiTheme="minorHAnsi" w:hAnsiTheme="minorHAnsi" w:cs="Arial"/>
          <w:sz w:val="22"/>
          <w:szCs w:val="22"/>
        </w:rPr>
        <w:t>If a Lease contains one or more Options by Tenant to renew, extend, or take additional space, Broker shall be paid a Commission by the Landlord: (a) upon commencement of the renewal or extension period (if a renewal or extension Option is exercised) calculated as if the renewal or extension period were included in the initial term of the Lease; and/or (b) upon commencement of the additional space term (if an Option for additional space is exercised) calculated as if a new Lease were executed for such additional space.  The Option shall be deemed exercised even if the terms of the renewal, extension, or taking of additional space do not conform exactly to the terms expressed in the original Option; in such event, the Commission shall be calculated on the actual terms of the renewal, extension, or taking of additional space.  Use of substantially equivalent documents (however characterized) to consummate the transaction shall not adversely affect Broker’s right to its Commission.</w:t>
      </w:r>
    </w:p>
    <w:p w:rsidR="00510ED6" w:rsidRDefault="00510ED6" w:rsidP="00673E1A">
      <w:pPr>
        <w:numPr>
          <w:ilvl w:val="0"/>
          <w:numId w:val="1"/>
        </w:numPr>
        <w:spacing w:after="240" w:line="360" w:lineRule="auto"/>
        <w:jc w:val="both"/>
        <w:rPr>
          <w:rFonts w:asciiTheme="minorHAnsi" w:hAnsiTheme="minorHAnsi" w:cs="Arial"/>
          <w:sz w:val="22"/>
          <w:szCs w:val="22"/>
        </w:rPr>
      </w:pPr>
      <w:r w:rsidRPr="00A70590">
        <w:rPr>
          <w:rFonts w:asciiTheme="minorHAnsi" w:hAnsiTheme="minorHAnsi" w:cs="Arial"/>
          <w:b/>
          <w:sz w:val="22"/>
          <w:szCs w:val="22"/>
        </w:rPr>
        <w:t xml:space="preserve">PAYMENT:  </w:t>
      </w:r>
      <w:r w:rsidRPr="00A70590">
        <w:rPr>
          <w:rFonts w:asciiTheme="minorHAnsi" w:hAnsiTheme="minorHAnsi" w:cs="Arial"/>
          <w:sz w:val="22"/>
          <w:szCs w:val="22"/>
        </w:rPr>
        <w:t xml:space="preserve">Commissions which are payable by Landlord on Lease transactions are payable to Broker when the Lease documents have been fully executed and unconditionally delivered, unless otherwise provided in this Agreement.  </w:t>
      </w:r>
    </w:p>
    <w:p w:rsidR="00510ED6" w:rsidRPr="00A70590" w:rsidRDefault="00510ED6" w:rsidP="00673E1A">
      <w:pPr>
        <w:numPr>
          <w:ilvl w:val="0"/>
          <w:numId w:val="1"/>
        </w:numPr>
        <w:spacing w:after="240" w:line="360" w:lineRule="auto"/>
        <w:jc w:val="both"/>
        <w:rPr>
          <w:rFonts w:asciiTheme="minorHAnsi" w:hAnsiTheme="minorHAnsi" w:cs="Arial"/>
          <w:sz w:val="22"/>
          <w:szCs w:val="22"/>
        </w:rPr>
      </w:pPr>
      <w:r w:rsidRPr="00A70590">
        <w:rPr>
          <w:rFonts w:asciiTheme="minorHAnsi" w:hAnsiTheme="minorHAnsi" w:cs="Arial"/>
          <w:b/>
          <w:sz w:val="22"/>
          <w:szCs w:val="22"/>
        </w:rPr>
        <w:t>DEFINITIONS:</w:t>
      </w:r>
    </w:p>
    <w:p w:rsidR="00510ED6" w:rsidRPr="00A70590" w:rsidRDefault="00510ED6" w:rsidP="00673E1A">
      <w:pPr>
        <w:spacing w:after="120" w:line="360" w:lineRule="auto"/>
        <w:ind w:left="720"/>
        <w:jc w:val="both"/>
        <w:rPr>
          <w:rFonts w:asciiTheme="minorHAnsi" w:hAnsiTheme="minorHAnsi" w:cs="Arial"/>
          <w:b/>
          <w:sz w:val="22"/>
          <w:szCs w:val="22"/>
        </w:rPr>
      </w:pPr>
      <w:r w:rsidRPr="00A70590">
        <w:rPr>
          <w:rFonts w:asciiTheme="minorHAnsi" w:hAnsiTheme="minorHAnsi" w:cs="Arial"/>
          <w:b/>
          <w:sz w:val="22"/>
          <w:szCs w:val="22"/>
        </w:rPr>
        <w:t xml:space="preserve"> “Commission”</w:t>
      </w:r>
      <w:r w:rsidRPr="00A70590">
        <w:rPr>
          <w:rFonts w:asciiTheme="minorHAnsi" w:hAnsiTheme="minorHAnsi" w:cs="Arial"/>
          <w:sz w:val="22"/>
          <w:szCs w:val="22"/>
        </w:rPr>
        <w:t xml:space="preserve"> shall mean a full real estate brokerage commission calculated in accordance with the rates and provisions set forth above, as applied to the Premises, and in accordance with the terms of the annexed agreement (if any).</w:t>
      </w:r>
      <w:r w:rsidRPr="00A70590">
        <w:rPr>
          <w:rFonts w:asciiTheme="minorHAnsi" w:hAnsiTheme="minorHAnsi" w:cs="Arial"/>
          <w:b/>
          <w:sz w:val="22"/>
          <w:szCs w:val="22"/>
        </w:rPr>
        <w:t xml:space="preserve"> </w:t>
      </w:r>
    </w:p>
    <w:p w:rsidR="00510ED6" w:rsidRPr="00A70590" w:rsidRDefault="00510ED6" w:rsidP="00673E1A">
      <w:pPr>
        <w:spacing w:after="120" w:line="360" w:lineRule="auto"/>
        <w:ind w:left="720"/>
        <w:jc w:val="both"/>
        <w:rPr>
          <w:rFonts w:asciiTheme="minorHAnsi" w:hAnsiTheme="minorHAnsi" w:cs="Arial"/>
          <w:sz w:val="22"/>
          <w:szCs w:val="22"/>
        </w:rPr>
      </w:pPr>
      <w:r w:rsidRPr="00A70590">
        <w:rPr>
          <w:rFonts w:asciiTheme="minorHAnsi" w:hAnsiTheme="minorHAnsi" w:cs="Arial"/>
          <w:b/>
          <w:sz w:val="22"/>
          <w:szCs w:val="22"/>
        </w:rPr>
        <w:lastRenderedPageBreak/>
        <w:t xml:space="preserve"> “Broker”</w:t>
      </w:r>
      <w:r w:rsidRPr="00A70590">
        <w:rPr>
          <w:rFonts w:asciiTheme="minorHAnsi" w:hAnsiTheme="minorHAnsi" w:cs="Arial"/>
          <w:sz w:val="22"/>
          <w:szCs w:val="22"/>
        </w:rPr>
        <w:t xml:space="preserve"> shall mean either </w:t>
      </w:r>
      <w:proofErr w:type="spellStart"/>
      <w:r w:rsidR="00317900">
        <w:rPr>
          <w:rFonts w:asciiTheme="minorHAnsi" w:hAnsiTheme="minorHAnsi" w:cs="Arial"/>
          <w:sz w:val="22"/>
          <w:szCs w:val="22"/>
        </w:rPr>
        <w:t>Politan</w:t>
      </w:r>
      <w:proofErr w:type="spellEnd"/>
      <w:r w:rsidR="00317900">
        <w:rPr>
          <w:rFonts w:asciiTheme="minorHAnsi" w:hAnsiTheme="minorHAnsi" w:cs="Arial"/>
          <w:sz w:val="22"/>
          <w:szCs w:val="22"/>
        </w:rPr>
        <w:t xml:space="preserve"> Real Estate </w:t>
      </w:r>
      <w:r w:rsidRPr="00A70590">
        <w:rPr>
          <w:rFonts w:asciiTheme="minorHAnsi" w:hAnsiTheme="minorHAnsi" w:cs="Arial"/>
          <w:sz w:val="22"/>
          <w:szCs w:val="22"/>
        </w:rPr>
        <w:t>LLC or, any of its real estate brokerage affiliates.</w:t>
      </w:r>
    </w:p>
    <w:p w:rsidR="00510ED6" w:rsidRPr="00A70590" w:rsidRDefault="00510ED6" w:rsidP="00673E1A">
      <w:pPr>
        <w:spacing w:after="120" w:line="360" w:lineRule="auto"/>
        <w:ind w:left="720"/>
        <w:jc w:val="both"/>
        <w:rPr>
          <w:rFonts w:asciiTheme="minorHAnsi" w:hAnsiTheme="minorHAnsi" w:cs="Arial"/>
          <w:sz w:val="22"/>
          <w:szCs w:val="22"/>
        </w:rPr>
      </w:pPr>
      <w:r w:rsidRPr="00A70590">
        <w:rPr>
          <w:rFonts w:asciiTheme="minorHAnsi" w:hAnsiTheme="minorHAnsi" w:cs="Arial"/>
          <w:b/>
          <w:sz w:val="22"/>
          <w:szCs w:val="22"/>
        </w:rPr>
        <w:t xml:space="preserve"> “Landlord”</w:t>
      </w:r>
      <w:r w:rsidRPr="00A70590">
        <w:rPr>
          <w:rFonts w:asciiTheme="minorHAnsi" w:hAnsiTheme="minorHAnsi" w:cs="Arial"/>
          <w:sz w:val="22"/>
          <w:szCs w:val="22"/>
        </w:rPr>
        <w:t xml:space="preserve"> shall also mean, as applicable, “owner”, “sub-landlord”, “assignor”, and their respective successors and assigns.</w:t>
      </w:r>
    </w:p>
    <w:p w:rsidR="00510ED6" w:rsidRPr="00A70590" w:rsidRDefault="00510ED6" w:rsidP="00673E1A">
      <w:pPr>
        <w:spacing w:after="120" w:line="360" w:lineRule="auto"/>
        <w:ind w:left="720"/>
        <w:jc w:val="both"/>
        <w:rPr>
          <w:rFonts w:asciiTheme="minorHAnsi" w:hAnsiTheme="minorHAnsi" w:cs="Arial"/>
          <w:sz w:val="22"/>
          <w:szCs w:val="22"/>
        </w:rPr>
      </w:pPr>
      <w:r w:rsidRPr="00A70590">
        <w:rPr>
          <w:rFonts w:asciiTheme="minorHAnsi" w:hAnsiTheme="minorHAnsi" w:cs="Arial"/>
          <w:b/>
          <w:sz w:val="22"/>
          <w:szCs w:val="22"/>
        </w:rPr>
        <w:t xml:space="preserve"> “Lease”</w:t>
      </w:r>
      <w:r w:rsidRPr="00A70590">
        <w:rPr>
          <w:rFonts w:asciiTheme="minorHAnsi" w:hAnsiTheme="minorHAnsi" w:cs="Arial"/>
          <w:sz w:val="22"/>
          <w:szCs w:val="22"/>
        </w:rPr>
        <w:t xml:space="preserve"> shall also mean, as applicable, “sublease”, “assignment”, or similar occupancy agreement (however characterized) and related documents executed contemporaneously therewith and shall include, in addition to the space originally demised under the Lease at the time of signing, all additional space demised in the Lease on a “must take” basis and all space taken by Tenant between Lease signing and move-in. “Lease” shall also include a renewal or extension of an existing Lease.</w:t>
      </w:r>
    </w:p>
    <w:p w:rsidR="00510ED6" w:rsidRPr="00A70590" w:rsidRDefault="00510ED6" w:rsidP="00673E1A">
      <w:pPr>
        <w:spacing w:after="120" w:line="360" w:lineRule="auto"/>
        <w:ind w:left="720"/>
        <w:jc w:val="both"/>
        <w:rPr>
          <w:rFonts w:asciiTheme="minorHAnsi" w:hAnsiTheme="minorHAnsi" w:cs="Arial"/>
          <w:sz w:val="22"/>
          <w:szCs w:val="22"/>
        </w:rPr>
      </w:pPr>
      <w:r w:rsidRPr="00A70590">
        <w:rPr>
          <w:rFonts w:asciiTheme="minorHAnsi" w:hAnsiTheme="minorHAnsi" w:cs="Arial"/>
          <w:b/>
          <w:sz w:val="22"/>
          <w:szCs w:val="22"/>
        </w:rPr>
        <w:t xml:space="preserve">“Lease Year” </w:t>
      </w:r>
      <w:r w:rsidRPr="00A70590">
        <w:rPr>
          <w:rFonts w:asciiTheme="minorHAnsi" w:hAnsiTheme="minorHAnsi" w:cs="Arial"/>
          <w:sz w:val="22"/>
          <w:szCs w:val="22"/>
        </w:rPr>
        <w:t>shall mean each successive twelve (12) month period following the rent commencement date specified in the Lease and any fraction thereof at the end of the Lease term.</w:t>
      </w:r>
    </w:p>
    <w:p w:rsidR="00510ED6" w:rsidRPr="00A70590" w:rsidRDefault="00510ED6" w:rsidP="00673E1A">
      <w:pPr>
        <w:spacing w:after="120" w:line="360" w:lineRule="auto"/>
        <w:ind w:left="720"/>
        <w:jc w:val="both"/>
        <w:rPr>
          <w:rFonts w:asciiTheme="minorHAnsi" w:hAnsiTheme="minorHAnsi" w:cs="Arial"/>
          <w:sz w:val="22"/>
          <w:szCs w:val="22"/>
        </w:rPr>
      </w:pPr>
      <w:r w:rsidRPr="00A70590">
        <w:rPr>
          <w:rFonts w:asciiTheme="minorHAnsi" w:hAnsiTheme="minorHAnsi" w:cs="Arial"/>
          <w:b/>
          <w:sz w:val="22"/>
          <w:szCs w:val="22"/>
        </w:rPr>
        <w:t xml:space="preserve">“Option” </w:t>
      </w:r>
      <w:r w:rsidRPr="00A70590">
        <w:rPr>
          <w:rFonts w:asciiTheme="minorHAnsi" w:hAnsiTheme="minorHAnsi" w:cs="Arial"/>
          <w:sz w:val="22"/>
          <w:szCs w:val="22"/>
        </w:rPr>
        <w:t>shall also mean rights of first refusal and of first offer granted to Tenant in the Lease, or in any collateral document.</w:t>
      </w:r>
    </w:p>
    <w:p w:rsidR="00510ED6" w:rsidRPr="00A70590" w:rsidRDefault="00510ED6" w:rsidP="00673E1A">
      <w:pPr>
        <w:spacing w:after="120" w:line="360" w:lineRule="auto"/>
        <w:ind w:left="720"/>
        <w:jc w:val="both"/>
        <w:rPr>
          <w:rFonts w:asciiTheme="minorHAnsi" w:hAnsiTheme="minorHAnsi" w:cs="Arial"/>
          <w:sz w:val="22"/>
          <w:szCs w:val="22"/>
        </w:rPr>
      </w:pPr>
      <w:r w:rsidRPr="00A70590">
        <w:rPr>
          <w:rFonts w:asciiTheme="minorHAnsi" w:hAnsiTheme="minorHAnsi" w:cs="Arial"/>
          <w:b/>
          <w:sz w:val="22"/>
          <w:szCs w:val="22"/>
        </w:rPr>
        <w:t>“Premises”</w:t>
      </w:r>
      <w:r w:rsidRPr="00A70590">
        <w:rPr>
          <w:rFonts w:asciiTheme="minorHAnsi" w:hAnsiTheme="minorHAnsi" w:cs="Arial"/>
          <w:sz w:val="22"/>
          <w:szCs w:val="22"/>
        </w:rPr>
        <w:t xml:space="preserve"> shall mean all of the space governed by the Lease.</w:t>
      </w:r>
    </w:p>
    <w:p w:rsidR="00510ED6" w:rsidRPr="00A70590" w:rsidRDefault="00510ED6" w:rsidP="00673E1A">
      <w:pPr>
        <w:spacing w:after="120" w:line="360" w:lineRule="auto"/>
        <w:ind w:left="720"/>
        <w:jc w:val="both"/>
        <w:rPr>
          <w:rFonts w:asciiTheme="minorHAnsi" w:hAnsiTheme="minorHAnsi" w:cs="Arial"/>
          <w:sz w:val="22"/>
          <w:szCs w:val="22"/>
        </w:rPr>
      </w:pPr>
      <w:r w:rsidRPr="00A70590">
        <w:rPr>
          <w:rFonts w:asciiTheme="minorHAnsi" w:hAnsiTheme="minorHAnsi" w:cs="Arial"/>
          <w:b/>
          <w:sz w:val="22"/>
          <w:szCs w:val="22"/>
        </w:rPr>
        <w:t>“Rent”</w:t>
      </w:r>
      <w:r w:rsidRPr="00A70590">
        <w:rPr>
          <w:rFonts w:asciiTheme="minorHAnsi" w:hAnsiTheme="minorHAnsi" w:cs="Arial"/>
          <w:sz w:val="22"/>
          <w:szCs w:val="22"/>
        </w:rPr>
        <w:t xml:space="preserve"> shall mean the aggregate gross fixed rent as stated in the Lease for each Lease Year, excluding all future tax, labor (porter’s wage), operating expense, cost of living, and other similar escalation charges (however denominated or calculated).  If the fixed rent for a portion of the Lease term is stated in terms other than a fixed dollar amount (e.g., 90% of fair market value or the then escalated gross rent) the Commission calculation for that portion of the term shall employ the fixed dollar amount of the Rent for the immediately preceding period.</w:t>
      </w:r>
    </w:p>
    <w:p w:rsidR="00510ED6" w:rsidRPr="00A70590" w:rsidRDefault="00610FB7" w:rsidP="00673E1A">
      <w:pPr>
        <w:spacing w:after="120" w:line="360" w:lineRule="auto"/>
        <w:ind w:left="720"/>
        <w:jc w:val="both"/>
        <w:rPr>
          <w:rFonts w:asciiTheme="minorHAnsi" w:hAnsiTheme="minorHAnsi" w:cs="Arial"/>
          <w:sz w:val="22"/>
          <w:szCs w:val="22"/>
        </w:rPr>
      </w:pPr>
      <w:r w:rsidRPr="00A70590">
        <w:rPr>
          <w:rFonts w:asciiTheme="minorHAnsi" w:hAnsiTheme="minorHAnsi" w:cs="Arial"/>
          <w:b/>
          <w:sz w:val="22"/>
          <w:szCs w:val="22"/>
        </w:rPr>
        <w:t xml:space="preserve"> </w:t>
      </w:r>
      <w:r w:rsidR="00510ED6" w:rsidRPr="00A70590">
        <w:rPr>
          <w:rFonts w:asciiTheme="minorHAnsi" w:hAnsiTheme="minorHAnsi" w:cs="Arial"/>
          <w:b/>
          <w:sz w:val="22"/>
          <w:szCs w:val="22"/>
        </w:rPr>
        <w:t>“Tenant”</w:t>
      </w:r>
      <w:r w:rsidR="00510ED6" w:rsidRPr="00A70590">
        <w:rPr>
          <w:rFonts w:asciiTheme="minorHAnsi" w:hAnsiTheme="minorHAnsi" w:cs="Arial"/>
          <w:sz w:val="22"/>
          <w:szCs w:val="22"/>
        </w:rPr>
        <w:t xml:space="preserve"> shall also mean, as applicable, “subtenant”, assignee”, and their respective successors and </w:t>
      </w:r>
      <w:proofErr w:type="gramStart"/>
      <w:r w:rsidR="00510ED6" w:rsidRPr="00A70590">
        <w:rPr>
          <w:rFonts w:asciiTheme="minorHAnsi" w:hAnsiTheme="minorHAnsi" w:cs="Arial"/>
          <w:sz w:val="22"/>
          <w:szCs w:val="22"/>
        </w:rPr>
        <w:t>assigns</w:t>
      </w:r>
      <w:proofErr w:type="gramEnd"/>
      <w:r w:rsidR="00510ED6" w:rsidRPr="00A70590">
        <w:rPr>
          <w:rFonts w:asciiTheme="minorHAnsi" w:hAnsiTheme="minorHAnsi" w:cs="Arial"/>
          <w:sz w:val="22"/>
          <w:szCs w:val="22"/>
        </w:rPr>
        <w:t>.</w:t>
      </w:r>
    </w:p>
    <w:p w:rsidR="00673E1A" w:rsidRPr="00A70590" w:rsidRDefault="00673E1A" w:rsidP="00673E1A">
      <w:pPr>
        <w:spacing w:after="120" w:line="360" w:lineRule="auto"/>
        <w:ind w:left="720"/>
        <w:jc w:val="both"/>
        <w:rPr>
          <w:rFonts w:asciiTheme="minorHAnsi" w:hAnsiTheme="minorHAnsi" w:cs="Arial"/>
          <w:sz w:val="22"/>
          <w:szCs w:val="22"/>
        </w:rPr>
      </w:pPr>
      <w:bookmarkStart w:id="0" w:name="_GoBack"/>
      <w:bookmarkEnd w:id="0"/>
    </w:p>
    <w:p w:rsidR="00673E1A" w:rsidRPr="00A70590" w:rsidRDefault="00510ED6" w:rsidP="00364883">
      <w:pPr>
        <w:spacing w:after="120" w:line="360" w:lineRule="auto"/>
        <w:ind w:left="720"/>
        <w:jc w:val="both"/>
        <w:rPr>
          <w:rFonts w:asciiTheme="minorHAnsi" w:hAnsiTheme="minorHAnsi" w:cs="Arial"/>
          <w:sz w:val="22"/>
          <w:szCs w:val="22"/>
        </w:rPr>
      </w:pPr>
      <w:r w:rsidRPr="00A70590">
        <w:rPr>
          <w:rFonts w:asciiTheme="minorHAnsi" w:hAnsiTheme="minorHAnsi" w:cs="Arial"/>
          <w:spacing w:val="-2"/>
          <w:sz w:val="22"/>
          <w:szCs w:val="22"/>
        </w:rPr>
        <w:t>This instrument shall be governed by and construed in accordance with the laws of the State of New York.  If any of the provisions of this instrument shall be declared invalid or unenforceable according to law, the remainder of this instrument shall not be affected thereby.</w:t>
      </w:r>
    </w:p>
    <w:sectPr w:rsidR="00673E1A" w:rsidRPr="00A70590" w:rsidSect="009906E2">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03A" w:rsidRDefault="005F203A" w:rsidP="00634AFA">
      <w:r>
        <w:separator/>
      </w:r>
    </w:p>
  </w:endnote>
  <w:endnote w:type="continuationSeparator" w:id="0">
    <w:p w:rsidR="005F203A" w:rsidRDefault="005F203A" w:rsidP="0063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90" w:rsidRDefault="00A70590" w:rsidP="00A70590">
    <w:pPr>
      <w:pStyle w:val="Footer"/>
      <w:jc w:val="center"/>
      <w:rPr>
        <w:rFonts w:asciiTheme="minorHAnsi" w:hAnsiTheme="minorHAnsi"/>
        <w:sz w:val="22"/>
        <w:szCs w:val="22"/>
      </w:rPr>
    </w:pPr>
  </w:p>
  <w:p w:rsidR="00A70590" w:rsidRPr="00A70590" w:rsidRDefault="00A70590" w:rsidP="00A70590">
    <w:pPr>
      <w:pStyle w:val="Footer"/>
      <w:jc w:val="center"/>
      <w:rPr>
        <w:rFonts w:asciiTheme="minorHAnsi" w:hAnsiTheme="minorHAnsi"/>
        <w:sz w:val="22"/>
        <w:szCs w:val="22"/>
      </w:rPr>
    </w:pPr>
    <w:proofErr w:type="spellStart"/>
    <w:r w:rsidRPr="00A70590">
      <w:rPr>
        <w:rFonts w:asciiTheme="minorHAnsi" w:hAnsiTheme="minorHAnsi"/>
        <w:sz w:val="22"/>
        <w:szCs w:val="22"/>
      </w:rPr>
      <w:t>Politan</w:t>
    </w:r>
    <w:proofErr w:type="spellEnd"/>
    <w:r w:rsidRPr="00A70590">
      <w:rPr>
        <w:rFonts w:asciiTheme="minorHAnsi" w:hAnsiTheme="minorHAnsi"/>
        <w:sz w:val="22"/>
        <w:szCs w:val="22"/>
      </w:rPr>
      <w:t xml:space="preserve"> Real Estate, LLC</w:t>
    </w:r>
  </w:p>
  <w:p w:rsidR="00A70590" w:rsidRPr="00A70590" w:rsidRDefault="00A70590" w:rsidP="00A70590">
    <w:pPr>
      <w:pStyle w:val="Footer"/>
      <w:jc w:val="center"/>
      <w:rPr>
        <w:rFonts w:asciiTheme="minorHAnsi" w:hAnsiTheme="minorHAnsi"/>
        <w:sz w:val="22"/>
        <w:szCs w:val="22"/>
      </w:rPr>
    </w:pPr>
    <w:r w:rsidRPr="00A70590">
      <w:rPr>
        <w:rFonts w:asciiTheme="minorHAnsi" w:hAnsiTheme="minorHAnsi"/>
        <w:sz w:val="22"/>
        <w:szCs w:val="22"/>
      </w:rPr>
      <w:t>45 Middle Neck Rd. Suite 215, Great Neck NY, 11021</w:t>
    </w:r>
  </w:p>
  <w:p w:rsidR="00A70590" w:rsidRPr="00A70590" w:rsidRDefault="00A70590">
    <w:pPr>
      <w:pStyle w:val="Foo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03A" w:rsidRDefault="005F203A" w:rsidP="00634AFA">
      <w:r>
        <w:separator/>
      </w:r>
    </w:p>
  </w:footnote>
  <w:footnote w:type="continuationSeparator" w:id="0">
    <w:p w:rsidR="005F203A" w:rsidRDefault="005F203A" w:rsidP="00634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FA" w:rsidRDefault="00A70590">
    <w:pPr>
      <w:pStyle w:val="Header"/>
    </w:pPr>
    <w:r>
      <w:rPr>
        <w:noProof/>
      </w:rPr>
      <w:drawing>
        <wp:inline distT="0" distB="0" distL="0" distR="0" wp14:anchorId="300FB74E" wp14:editId="65F803F9">
          <wp:extent cx="1635298" cy="5143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tan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902" cy="514540"/>
                  </a:xfrm>
                  <a:prstGeom prst="rect">
                    <a:avLst/>
                  </a:prstGeom>
                </pic:spPr>
              </pic:pic>
            </a:graphicData>
          </a:graphic>
        </wp:inline>
      </w:drawing>
    </w:r>
  </w:p>
  <w:p w:rsidR="00A70590" w:rsidRDefault="00A70590">
    <w:pPr>
      <w:pStyle w:val="Header"/>
    </w:pPr>
  </w:p>
  <w:p w:rsidR="00A70590" w:rsidRDefault="00A70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22A14"/>
    <w:multiLevelType w:val="hybridMultilevel"/>
    <w:tmpl w:val="0C9882E6"/>
    <w:lvl w:ilvl="0" w:tplc="0C96148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52"/>
    <w:rsid w:val="00001DD9"/>
    <w:rsid w:val="000C0D48"/>
    <w:rsid w:val="000D48EB"/>
    <w:rsid w:val="001027F5"/>
    <w:rsid w:val="001C5A38"/>
    <w:rsid w:val="00215B6B"/>
    <w:rsid w:val="002642B5"/>
    <w:rsid w:val="002F5D2D"/>
    <w:rsid w:val="00317900"/>
    <w:rsid w:val="00364883"/>
    <w:rsid w:val="0038527E"/>
    <w:rsid w:val="004D332F"/>
    <w:rsid w:val="00510ED6"/>
    <w:rsid w:val="005352E0"/>
    <w:rsid w:val="00562E02"/>
    <w:rsid w:val="005E75D4"/>
    <w:rsid w:val="005F203A"/>
    <w:rsid w:val="00610FB7"/>
    <w:rsid w:val="00613390"/>
    <w:rsid w:val="00631472"/>
    <w:rsid w:val="00634AFA"/>
    <w:rsid w:val="00670A52"/>
    <w:rsid w:val="00673E1A"/>
    <w:rsid w:val="00732A89"/>
    <w:rsid w:val="00734F84"/>
    <w:rsid w:val="00756624"/>
    <w:rsid w:val="007911F9"/>
    <w:rsid w:val="007B29EF"/>
    <w:rsid w:val="007C53CB"/>
    <w:rsid w:val="007F4E59"/>
    <w:rsid w:val="008109D4"/>
    <w:rsid w:val="00812D33"/>
    <w:rsid w:val="00824612"/>
    <w:rsid w:val="008247F4"/>
    <w:rsid w:val="00971677"/>
    <w:rsid w:val="009906E2"/>
    <w:rsid w:val="00991A2D"/>
    <w:rsid w:val="00A63F31"/>
    <w:rsid w:val="00A70590"/>
    <w:rsid w:val="00B610B6"/>
    <w:rsid w:val="00C33EC8"/>
    <w:rsid w:val="00C46A30"/>
    <w:rsid w:val="00CA11AA"/>
    <w:rsid w:val="00CA4C56"/>
    <w:rsid w:val="00D85244"/>
    <w:rsid w:val="00DC630A"/>
    <w:rsid w:val="00E121B5"/>
    <w:rsid w:val="00F42796"/>
    <w:rsid w:val="00F70475"/>
    <w:rsid w:val="00FD6141"/>
    <w:rsid w:val="00FF5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21360E-A4DA-42EE-AFC6-FC59BF24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AFA"/>
    <w:pPr>
      <w:tabs>
        <w:tab w:val="center" w:pos="4680"/>
        <w:tab w:val="right" w:pos="9360"/>
      </w:tabs>
    </w:pPr>
  </w:style>
  <w:style w:type="character" w:customStyle="1" w:styleId="HeaderChar">
    <w:name w:val="Header Char"/>
    <w:basedOn w:val="DefaultParagraphFont"/>
    <w:link w:val="Header"/>
    <w:uiPriority w:val="99"/>
    <w:rsid w:val="00634AFA"/>
    <w:rPr>
      <w:sz w:val="24"/>
      <w:szCs w:val="24"/>
    </w:rPr>
  </w:style>
  <w:style w:type="paragraph" w:styleId="Footer">
    <w:name w:val="footer"/>
    <w:basedOn w:val="Normal"/>
    <w:link w:val="FooterChar"/>
    <w:rsid w:val="00634AFA"/>
    <w:pPr>
      <w:tabs>
        <w:tab w:val="center" w:pos="4680"/>
        <w:tab w:val="right" w:pos="9360"/>
      </w:tabs>
    </w:pPr>
  </w:style>
  <w:style w:type="character" w:customStyle="1" w:styleId="FooterChar">
    <w:name w:val="Footer Char"/>
    <w:basedOn w:val="DefaultParagraphFont"/>
    <w:link w:val="Footer"/>
    <w:rsid w:val="00634AFA"/>
    <w:rPr>
      <w:sz w:val="24"/>
      <w:szCs w:val="24"/>
    </w:rPr>
  </w:style>
  <w:style w:type="paragraph" w:styleId="BalloonText">
    <w:name w:val="Balloon Text"/>
    <w:basedOn w:val="Normal"/>
    <w:link w:val="BalloonTextChar"/>
    <w:rsid w:val="00634AFA"/>
    <w:rPr>
      <w:rFonts w:ascii="Tahoma" w:hAnsi="Tahoma" w:cs="Tahoma"/>
      <w:sz w:val="16"/>
      <w:szCs w:val="16"/>
    </w:rPr>
  </w:style>
  <w:style w:type="character" w:customStyle="1" w:styleId="BalloonTextChar">
    <w:name w:val="Balloon Text Char"/>
    <w:basedOn w:val="DefaultParagraphFont"/>
    <w:link w:val="BalloonText"/>
    <w:rsid w:val="00634AFA"/>
    <w:rPr>
      <w:rFonts w:ascii="Tahoma" w:hAnsi="Tahoma" w:cs="Tahoma"/>
      <w:sz w:val="16"/>
      <w:szCs w:val="16"/>
    </w:rPr>
  </w:style>
  <w:style w:type="paragraph" w:customStyle="1" w:styleId="p2">
    <w:name w:val="p2"/>
    <w:basedOn w:val="Normal"/>
    <w:rsid w:val="000D48EB"/>
    <w:pPr>
      <w:widowControl w:val="0"/>
      <w:tabs>
        <w:tab w:val="left" w:pos="204"/>
      </w:tabs>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13244">
      <w:bodyDiv w:val="1"/>
      <w:marLeft w:val="0"/>
      <w:marRight w:val="0"/>
      <w:marTop w:val="0"/>
      <w:marBottom w:val="0"/>
      <w:divBdr>
        <w:top w:val="none" w:sz="0" w:space="0" w:color="auto"/>
        <w:left w:val="none" w:sz="0" w:space="0" w:color="auto"/>
        <w:bottom w:val="none" w:sz="0" w:space="0" w:color="auto"/>
        <w:right w:val="none" w:sz="0" w:space="0" w:color="auto"/>
      </w:divBdr>
    </w:div>
    <w:div w:id="15295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mwang</cp:lastModifiedBy>
  <cp:revision>8</cp:revision>
  <cp:lastPrinted>2012-11-17T19:14:00Z</cp:lastPrinted>
  <dcterms:created xsi:type="dcterms:W3CDTF">2018-03-27T16:30:00Z</dcterms:created>
  <dcterms:modified xsi:type="dcterms:W3CDTF">2018-12-10T20:14:00Z</dcterms:modified>
</cp:coreProperties>
</file>